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DF" w:rsidRPr="004553DF" w:rsidRDefault="004553DF" w:rsidP="004553DF">
      <w:pPr>
        <w:jc w:val="center"/>
        <w:rPr>
          <w:rFonts w:ascii="Century Gothic" w:hAnsi="Century Gothic" w:cs="Courier New"/>
          <w:b/>
          <w:color w:val="333333"/>
          <w:sz w:val="28"/>
          <w:szCs w:val="28"/>
          <w:shd w:val="clear" w:color="auto" w:fill="FFFFFF"/>
        </w:rPr>
      </w:pPr>
      <w:r w:rsidRPr="004553DF">
        <w:rPr>
          <w:rFonts w:ascii="Century Gothic" w:hAnsi="Century Gothic" w:cs="Courier New"/>
          <w:b/>
          <w:color w:val="333333"/>
          <w:sz w:val="28"/>
          <w:szCs w:val="28"/>
          <w:shd w:val="clear" w:color="auto" w:fill="FFFFFF"/>
        </w:rPr>
        <w:t>INFORMATIVA DECRETO RISTORI</w:t>
      </w:r>
    </w:p>
    <w:p w:rsidR="004553DF" w:rsidRPr="004553DF" w:rsidRDefault="004553DF">
      <w:pPr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</w:pPr>
    </w:p>
    <w:p w:rsidR="004553DF" w:rsidRPr="004553DF" w:rsidRDefault="004553DF">
      <w:pPr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</w:pPr>
    </w:p>
    <w:p w:rsidR="00930CCD" w:rsidRDefault="004553DF"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#Emergenza #Coronavirus, approvato il #DecretoRistori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Il Consiglio dei Ministri ha approvato un decreto-legge che introduce ulteriori misure urgenti per la tutela della salute e per il sostegno ai lavoratori e ai settori produttivi, nonché in materia di giustizia e sicurezza connesse all'epidemia da COVID-19.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Di seguito le principali misure introdotte: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1. Contributi a fondo perduto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Le imprese dei settori oggetto delle nuove restrizioni riceveranno contributi a fondo perduto con  la stessa procedura già utilizzata dall’Agenzia delle entrate in relazione ai contributi previsti dal decreto “Rilancio” (decreto-legge </w:t>
      </w:r>
      <w:r w:rsidRPr="004553DF">
        <w:rPr>
          <w:rStyle w:val="object"/>
          <w:rFonts w:ascii="Century Gothic" w:hAnsi="Century Gothic" w:cs="Courier New"/>
          <w:color w:val="005A95"/>
          <w:sz w:val="16"/>
          <w:szCs w:val="16"/>
          <w:shd w:val="clear" w:color="auto" w:fill="FFFFFF"/>
        </w:rPr>
        <w:t>19 maggio 2020</w:t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, n. 34).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La platea dei beneficiari includerà anche le imprese con fatturato maggiore di 5 milioni di euro (con un ristoro pari al 10 per cento del calo del fatturato). Potranno presentare la domanda anche le attività che non hanno usufruito dei precedenti contributi, mentre è prevista l’erogazione automatica sul conto corrente, entro il 15 novembre, per chi aveva già fatto domanda in precedenza.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L’importo del beneficio varierà dal 100 per cento al 400 per cento di quanto previsto in precedenza, in funzione del settore di attività dell’esercizio.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2. Proroga della cassa integrazione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Con un intervento da 1,6 miliardi complessivi, vengono disposte ulteriori 6 settimane di Cassa integrazione ordinaria, in deroga e di assegno ordinario legate all’emergenza COVID-19, da usufruire tra il </w:t>
      </w:r>
      <w:r w:rsidRPr="004553DF">
        <w:rPr>
          <w:rStyle w:val="object"/>
          <w:rFonts w:ascii="Century Gothic" w:hAnsi="Century Gothic" w:cs="Courier New"/>
          <w:color w:val="005A95"/>
          <w:sz w:val="16"/>
          <w:szCs w:val="16"/>
          <w:shd w:val="clear" w:color="auto" w:fill="FFFFFF"/>
        </w:rPr>
        <w:t>16 novembre 2019</w:t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 e il </w:t>
      </w:r>
      <w:r w:rsidRPr="004553DF">
        <w:rPr>
          <w:rStyle w:val="object"/>
          <w:rFonts w:ascii="Century Gothic" w:hAnsi="Century Gothic" w:cs="Courier New"/>
          <w:color w:val="005A95"/>
          <w:sz w:val="16"/>
          <w:szCs w:val="16"/>
          <w:shd w:val="clear" w:color="auto" w:fill="FFFFFF"/>
        </w:rPr>
        <w:t>31 gennaio 2021</w:t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 da parte delle imprese che hanno esaurito le precedenti settimane di Cassa integrazione e da parte di quelle soggette a chiusura o limitazione delle attività economiche.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È prevista un’aliquota contributiva addizionale differenziata sulla base della riduzione di fatturato. La Cassa è gratuita per i datori di lavoro che hanno subito una riduzione di fatturato pari o superiore al 20%, per chi ha avviato l’attività dopo il 1° </w:t>
      </w:r>
      <w:r w:rsidRPr="004553DF">
        <w:rPr>
          <w:rStyle w:val="object"/>
          <w:rFonts w:ascii="Century Gothic" w:hAnsi="Century Gothic" w:cs="Courier New"/>
          <w:color w:val="005A95"/>
          <w:sz w:val="16"/>
          <w:szCs w:val="16"/>
          <w:shd w:val="clear" w:color="auto" w:fill="FFFFFF"/>
        </w:rPr>
        <w:t>gennaio </w:t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2019 e per le imprese interessate dalle restrizioni.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3. Esonero dal versamento dei contributi previdenziali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Viene riconosciuto un esonero dal versamento dei contributi previdenziali ai datori di lavoro (con esclusione del settore agricolo) che hanno sospeso o ridotto l’attività a causa dell’emergenza COVID, per un periodo massimo di 4 mesi, fruibili entro il </w:t>
      </w:r>
      <w:r w:rsidRPr="004553DF">
        <w:rPr>
          <w:rStyle w:val="object"/>
          <w:rFonts w:ascii="Century Gothic" w:hAnsi="Century Gothic" w:cs="Courier New"/>
          <w:color w:val="005A95"/>
          <w:sz w:val="16"/>
          <w:szCs w:val="16"/>
          <w:shd w:val="clear" w:color="auto" w:fill="FFFFFF"/>
        </w:rPr>
        <w:t>31 maggio 2021</w:t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.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L’esonero è determinato in base alla perdita di fatturato ed è pari: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- al 50% dei contributi previdenziali per i datori di lavoro che hanno subito una riduzione del fatturato inferiore al 20%;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- al 100% dei contributi previdenziali per i datori che hanno subito una riduzione del fatturato pari o superiore al 20%.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4. Credito d’imposta sugli affitti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Il credito d’imposta sugli affitti viene esteso ai mesi</w:t>
      </w:r>
      <w:r w:rsidRPr="004553DF">
        <w:rPr>
          <w:rStyle w:val="object"/>
          <w:rFonts w:ascii="Century Gothic" w:hAnsi="Century Gothic" w:cs="Courier New"/>
          <w:color w:val="005A95"/>
          <w:sz w:val="16"/>
          <w:szCs w:val="16"/>
          <w:shd w:val="clear" w:color="auto" w:fill="FFFFFF"/>
        </w:rPr>
        <w:t> di ottobre</w:t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, </w:t>
      </w:r>
      <w:r w:rsidRPr="004553DF">
        <w:rPr>
          <w:rStyle w:val="object"/>
          <w:rFonts w:ascii="Century Gothic" w:hAnsi="Century Gothic" w:cs="Courier New"/>
          <w:color w:val="005A95"/>
          <w:sz w:val="16"/>
          <w:szCs w:val="16"/>
          <w:shd w:val="clear" w:color="auto" w:fill="FFFFFF"/>
        </w:rPr>
        <w:t>novembre </w:t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e </w:t>
      </w:r>
      <w:r w:rsidRPr="004553DF">
        <w:rPr>
          <w:rStyle w:val="object"/>
          <w:rFonts w:ascii="Century Gothic" w:hAnsi="Century Gothic" w:cs="Courier New"/>
          <w:color w:val="005A95"/>
          <w:sz w:val="16"/>
          <w:szCs w:val="16"/>
          <w:shd w:val="clear" w:color="auto" w:fill="FFFFFF"/>
        </w:rPr>
        <w:t>dicembre </w:t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ed allargato alle imprese con ricavi superiori ai 5 milioni di euro che abbiano subito un calo del fatturato del 50%. Il relativo credito è cedibile al proprietario dell’immobile locato.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5. Cancellazione della seconda rata IMU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La seconda rata dell’IMU 2020 relativa agli immobili e alle pertinenze in cui si svolgono le loro attività è cancellata per le categorie interessate dalle restrizioni.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6. Misure per i lavoratori dello spettacolo e del turismo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Sono previste: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una indennità di 1.000 euro per tutti i lavoratori autonomi e intermittenti dello spettacolo;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la proroga della cassa integrazione e indennità speciali per il settore del turismo.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7. Fondi di sostegno per alcuni dei settori più colpiti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È stanziato complessivamente 1 miliardo per il sostegno nei confronti di alcuni settori colpiti: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lastRenderedPageBreak/>
        <w:t>- 400 milioni per agenzie di viaggio e tour operator;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- 100 milioni per editoria, fiere e congressi;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- 100 milioni di euro per il sostegno al settore alberghiero e termale;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- 400 milioni di euro per il sostegno all’export e alle fiere internazionali.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8. Reddito di emergenza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A tutti coloro che ne avevano già diritto e a chi nel mese</w:t>
      </w:r>
      <w:r w:rsidRPr="004553DF">
        <w:rPr>
          <w:rStyle w:val="object"/>
          <w:rFonts w:ascii="Century Gothic" w:hAnsi="Century Gothic" w:cs="Courier New"/>
          <w:color w:val="005A95"/>
          <w:sz w:val="16"/>
          <w:szCs w:val="16"/>
          <w:shd w:val="clear" w:color="auto" w:fill="FFFFFF"/>
        </w:rPr>
        <w:t> di settembre</w:t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 ha avuto un valore del reddito familiare inferiore all’importo del beneficio verranno erogate due mensilità del Reddito di emergenza.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9. Indennità da 800 euro per i lavoratori del settore sportivo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È riconosciuta un’ulteriore indennità destinata a tutti i lavoratori del settore sportivo che avevano già ricevuto le indennità previste dai decreti “Cura Italia” (decreto-legge </w:t>
      </w:r>
      <w:r w:rsidRPr="004553DF">
        <w:rPr>
          <w:rStyle w:val="object"/>
          <w:rFonts w:ascii="Century Gothic" w:hAnsi="Century Gothic" w:cs="Courier New"/>
          <w:color w:val="005A95"/>
          <w:sz w:val="16"/>
          <w:szCs w:val="16"/>
          <w:shd w:val="clear" w:color="auto" w:fill="FFFFFF"/>
        </w:rPr>
        <w:t>17 marzo 2020</w:t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, n. 18) e “Rilancio” (decreto-legge </w:t>
      </w:r>
      <w:r w:rsidRPr="004553DF">
        <w:rPr>
          <w:rStyle w:val="object"/>
          <w:rFonts w:ascii="Century Gothic" w:hAnsi="Century Gothic" w:cs="Courier New"/>
          <w:color w:val="005A95"/>
          <w:sz w:val="16"/>
          <w:szCs w:val="16"/>
          <w:shd w:val="clear" w:color="auto" w:fill="FFFFFF"/>
        </w:rPr>
        <w:t>19 maggio 2020</w:t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, n. 34). L’importo è aumentato da 600 a 800 euro.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10. Sostegno allo sport dilettantistico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Per far fronte alle difficoltà delle associazioni e società sportive dilettantistiche viene istituito un apposito Fondo le cui risorse verranno assegnate al Dipartimento per lo sport.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Il Fondo viene finanziato per 50 milioni di euro per il 2020 per l’adozione di misure di sostegno e ripresa delle associazioni e società sportive dilettantistiche che hanno cessato o ridotto la propria attività, tenendo conto del servizio di interesse generale che queste associazioni svolgono, soprattutto per le comunità locali e i giovani.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11. Contributo a fondo perduto per le filiere di agricoltura e pesca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Viene istituito un fondo da 100 milioni di euro per sostenere le imprese delle filiere agricole, della pesca e dell’acquacoltura interessate dalle misure restrittive.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Il sostegno viene effettuato attraverso la concessione di contributi a fondo perduto a chi ha avviato l’attività dopo il 1° </w:t>
      </w:r>
      <w:r w:rsidRPr="004553DF">
        <w:rPr>
          <w:rStyle w:val="object"/>
          <w:rFonts w:ascii="Century Gothic" w:hAnsi="Century Gothic" w:cs="Courier New"/>
          <w:color w:val="005A95"/>
          <w:sz w:val="16"/>
          <w:szCs w:val="16"/>
          <w:shd w:val="clear" w:color="auto" w:fill="FFFFFF"/>
        </w:rPr>
        <w:t>gennaio </w:t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2019 e a chi ha subito un calo del fatturato superiore al 25% nel</w:t>
      </w:r>
      <w:r w:rsidRPr="004553DF">
        <w:rPr>
          <w:rStyle w:val="object"/>
          <w:rFonts w:ascii="Century Gothic" w:hAnsi="Century Gothic" w:cs="Courier New"/>
          <w:color w:val="005A95"/>
          <w:sz w:val="16"/>
          <w:szCs w:val="16"/>
          <w:shd w:val="clear" w:color="auto" w:fill="FFFFFF"/>
        </w:rPr>
        <w:t> novembre 2020</w:t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 rispetto al</w:t>
      </w:r>
      <w:r w:rsidRPr="004553DF">
        <w:rPr>
          <w:rStyle w:val="object"/>
          <w:rFonts w:ascii="Century Gothic" w:hAnsi="Century Gothic" w:cs="Courier New"/>
          <w:color w:val="005A95"/>
          <w:sz w:val="16"/>
          <w:szCs w:val="16"/>
          <w:shd w:val="clear" w:color="auto" w:fill="FFFFFF"/>
        </w:rPr>
        <w:t> novembre 2019</w:t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.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12. Salute e sicurezza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È previsto un insieme di interventi per rafforzare ulteriormente la risposta sanitaria del nostro Paese nei confronti dell’emergenza Coronavirus. Tra questi: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- lo stanziamento dei fondi necessari per la somministrazione di 2 milioni di tamponi rapidi presso i medici di famiglia;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- l’istituzione presso il Ministero della salute del Servizio nazionale di risposta telefonica per la sorveglianza sanitaria e le attività di contact tracing.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13. Giustizia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Il decreto prevede anche specifiche misure per il settore giustizia. Tra l’altro, si introducono disposizioni: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- per l’utilizzo di collegamenti da remoto per l’espletamento di specifiche attività legate alle indagini preliminari e, in ambito sia civile che penale, alle udienze;</w:t>
      </w:r>
      <w:r w:rsidRPr="004553DF">
        <w:rPr>
          <w:rFonts w:ascii="Century Gothic" w:hAnsi="Century Gothic" w:cs="Courier New"/>
          <w:color w:val="333333"/>
          <w:sz w:val="16"/>
          <w:szCs w:val="16"/>
        </w:rPr>
        <w:br/>
      </w:r>
      <w:r w:rsidRPr="004553DF">
        <w:rPr>
          <w:rFonts w:ascii="Century Gothic" w:hAnsi="Century Gothic" w:cs="Courier New"/>
          <w:color w:val="333333"/>
          <w:sz w:val="16"/>
          <w:szCs w:val="16"/>
          <w:shd w:val="clear" w:color="auto" w:fill="FFFFFF"/>
        </w:rPr>
        <w:t>- per la semplificazione del deposito di atti, documenti e istanze</w:t>
      </w:r>
      <w:r>
        <w:rPr>
          <w:rFonts w:ascii="Courier New" w:hAnsi="Courier New" w:cs="Courier New"/>
          <w:color w:val="333333"/>
          <w:sz w:val="13"/>
          <w:szCs w:val="13"/>
          <w:shd w:val="clear" w:color="auto" w:fill="FFFFFF"/>
        </w:rPr>
        <w:t>.</w:t>
      </w:r>
    </w:p>
    <w:sectPr w:rsidR="00930CCD" w:rsidSect="002E4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compat>
    <w:useFELayout/>
  </w:compat>
  <w:rsids>
    <w:rsidRoot w:val="004553DF"/>
    <w:rsid w:val="002E4FEC"/>
    <w:rsid w:val="003621BA"/>
    <w:rsid w:val="004553DF"/>
    <w:rsid w:val="0093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F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bject">
    <w:name w:val="object"/>
    <w:basedOn w:val="Carpredefinitoparagrafo"/>
    <w:rsid w:val="00455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5335</Characters>
  <Application>Microsoft Office Word</Application>
  <DocSecurity>0</DocSecurity>
  <Lines>44</Lines>
  <Paragraphs>12</Paragraphs>
  <ScaleCrop>false</ScaleCrop>
  <Company>BASTARDS TeaM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Loredana</cp:lastModifiedBy>
  <cp:revision>2</cp:revision>
  <dcterms:created xsi:type="dcterms:W3CDTF">2020-10-29T07:27:00Z</dcterms:created>
  <dcterms:modified xsi:type="dcterms:W3CDTF">2020-10-29T07:27:00Z</dcterms:modified>
</cp:coreProperties>
</file>